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3443" w14:textId="68EE168E" w:rsidR="00B67608" w:rsidRDefault="00FF0F80" w:rsidP="4349B781"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0E43C20" wp14:editId="60867284">
            <wp:simplePos x="0" y="0"/>
            <wp:positionH relativeFrom="column">
              <wp:posOffset>2753832</wp:posOffset>
            </wp:positionH>
            <wp:positionV relativeFrom="paragraph">
              <wp:posOffset>-221379</wp:posOffset>
            </wp:positionV>
            <wp:extent cx="2327395" cy="587405"/>
            <wp:effectExtent l="0" t="0" r="0" b="3175"/>
            <wp:wrapNone/>
            <wp:docPr id="768233760" name="Picture 1" descr="A black and orang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233760" name="Picture 1" descr="A black and orange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95" cy="58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B5F1D" w14:textId="77777777" w:rsidR="00FF0F80" w:rsidRDefault="00FF0F80" w:rsidP="4349B781">
      <w:pPr>
        <w:rPr>
          <w:rFonts w:ascii="Arial" w:hAnsi="Arial" w:cs="Arial"/>
          <w:b/>
          <w:bCs/>
        </w:rPr>
      </w:pPr>
    </w:p>
    <w:p w14:paraId="4750CC39" w14:textId="33259E6C" w:rsidR="00FF0F80" w:rsidRDefault="00FF0F80" w:rsidP="00FF0F8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Development Day</w:t>
      </w:r>
    </w:p>
    <w:p w14:paraId="1016AF15" w14:textId="44105D7E" w:rsidR="00FF0F80" w:rsidRDefault="00FF0F80" w:rsidP="00FF0F8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2, 2024</w:t>
      </w:r>
    </w:p>
    <w:p w14:paraId="0637E2F2" w14:textId="0FB739DF" w:rsidR="00D52E58" w:rsidRPr="00A73F5B" w:rsidRDefault="00134C68" w:rsidP="4349B781">
      <w:r w:rsidRPr="4349B781">
        <w:rPr>
          <w:rFonts w:ascii="Arial" w:hAnsi="Arial" w:cs="Arial"/>
          <w:b/>
          <w:bCs/>
        </w:rPr>
        <w:t>Session Wo</w:t>
      </w:r>
      <w:r w:rsidR="00D829D2" w:rsidRPr="4349B781">
        <w:rPr>
          <w:rFonts w:ascii="Arial" w:hAnsi="Arial" w:cs="Arial"/>
          <w:b/>
          <w:bCs/>
        </w:rPr>
        <w:t>rksheet</w:t>
      </w:r>
    </w:p>
    <w:p w14:paraId="290A1FED" w14:textId="17E87898" w:rsidR="008A6D00" w:rsidRPr="00A73F5B" w:rsidRDefault="2165478C" w:rsidP="2165478C">
      <w:pPr>
        <w:tabs>
          <w:tab w:val="left" w:pos="4320"/>
        </w:tabs>
      </w:pPr>
      <w:bookmarkStart w:id="0" w:name="_Hlk23280253"/>
      <w:bookmarkEnd w:id="0"/>
      <w:r w:rsidRPr="2165478C">
        <w:rPr>
          <w:rFonts w:ascii="Arial" w:hAnsi="Arial" w:cs="Arial"/>
          <w:b/>
          <w:bCs/>
          <w:noProof/>
        </w:rPr>
        <w:t xml:space="preserve">Sessions: </w:t>
      </w:r>
    </w:p>
    <w:p w14:paraId="0477A1EA" w14:textId="77777777" w:rsidR="00D52E58" w:rsidRPr="00A73F5B" w:rsidRDefault="00134C68" w:rsidP="00134C68">
      <w:pPr>
        <w:tabs>
          <w:tab w:val="left" w:pos="4320"/>
        </w:tabs>
        <w:rPr>
          <w:rFonts w:ascii="Arial" w:hAnsi="Arial" w:cs="Arial"/>
        </w:rPr>
      </w:pPr>
      <w:r w:rsidRPr="00A73F5B">
        <w:rPr>
          <w:rFonts w:ascii="Arial" w:hAnsi="Arial" w:cs="Arial"/>
          <w:noProof/>
        </w:rPr>
        <w:t>I plan to attend the following sessions to strengthen my professional development. (</w:t>
      </w:r>
      <w:r w:rsidR="00A40CFC" w:rsidRPr="00A73F5B">
        <w:rPr>
          <w:rFonts w:ascii="Arial" w:hAnsi="Arial" w:cs="Arial"/>
          <w:noProof/>
        </w:rPr>
        <w:t>Mark</w:t>
      </w:r>
      <w:r w:rsidRPr="00A73F5B">
        <w:rPr>
          <w:rFonts w:ascii="Arial" w:hAnsi="Arial" w:cs="Arial"/>
          <w:noProof/>
        </w:rPr>
        <w:t xml:space="preserve"> the sessions you plan to attend as well as the learning outcomes and how they will benefit you, your team</w:t>
      </w:r>
      <w:r w:rsidR="0084102E" w:rsidRPr="00A73F5B">
        <w:rPr>
          <w:rFonts w:ascii="Arial" w:hAnsi="Arial" w:cs="Arial"/>
          <w:noProof/>
        </w:rPr>
        <w:t>,</w:t>
      </w:r>
      <w:r w:rsidRPr="00A73F5B">
        <w:rPr>
          <w:rFonts w:ascii="Arial" w:hAnsi="Arial" w:cs="Arial"/>
          <w:noProof/>
        </w:rPr>
        <w:t xml:space="preserve"> and your organization.</w:t>
      </w:r>
      <w:r w:rsidR="00A40CFC" w:rsidRPr="00A73F5B">
        <w:rPr>
          <w:rFonts w:ascii="Arial" w:hAnsi="Arial" w:cs="Arial"/>
          <w:noProof/>
        </w:rPr>
        <w:t xml:space="preserve"> Please refer to the schedule of events as some sessions and round tables run concurrently</w:t>
      </w:r>
      <w:r w:rsidRPr="00A73F5B">
        <w:rPr>
          <w:rFonts w:ascii="Arial" w:hAnsi="Arial" w:cs="Arial"/>
          <w:noProof/>
        </w:rPr>
        <w:t>)</w:t>
      </w:r>
      <w:r w:rsidR="00A40CFC" w:rsidRPr="00A73F5B">
        <w:rPr>
          <w:rFonts w:ascii="Arial" w:hAnsi="Arial" w:cs="Arial"/>
          <w:noProof/>
        </w:rPr>
        <w:t>.</w:t>
      </w:r>
      <w:r w:rsidRPr="00A73F5B">
        <w:rPr>
          <w:rFonts w:ascii="Arial" w:hAnsi="Arial" w:cs="Arial"/>
          <w:noProof/>
        </w:rPr>
        <w:t xml:space="preserve"> </w:t>
      </w:r>
    </w:p>
    <w:tbl>
      <w:tblPr>
        <w:tblStyle w:val="TableGrid"/>
        <w:tblW w:w="12950" w:type="dxa"/>
        <w:tblLook w:val="00A0" w:firstRow="1" w:lastRow="0" w:firstColumn="1" w:lastColumn="0" w:noHBand="0" w:noVBand="0"/>
      </w:tblPr>
      <w:tblGrid>
        <w:gridCol w:w="1081"/>
        <w:gridCol w:w="3658"/>
        <w:gridCol w:w="2638"/>
        <w:gridCol w:w="5573"/>
      </w:tblGrid>
      <w:tr w:rsidR="00626D4D" w:rsidRPr="00A73F5B" w14:paraId="372A6CE8" w14:textId="77777777" w:rsidTr="1A807907">
        <w:tc>
          <w:tcPr>
            <w:tcW w:w="1081" w:type="dxa"/>
          </w:tcPr>
          <w:p w14:paraId="7C8B472D" w14:textId="77777777" w:rsidR="00626D4D" w:rsidRPr="00A73F5B" w:rsidRDefault="00626D4D" w:rsidP="00626D4D">
            <w:pPr>
              <w:jc w:val="center"/>
              <w:rPr>
                <w:rFonts w:ascii="Arial" w:hAnsi="Arial" w:cs="Arial"/>
                <w:b/>
              </w:rPr>
            </w:pPr>
            <w:r w:rsidRPr="00A73F5B">
              <w:rPr>
                <w:rFonts w:ascii="Arial" w:hAnsi="Arial" w:cs="Arial"/>
                <w:b/>
              </w:rPr>
              <w:t>Plan To Attend</w:t>
            </w:r>
          </w:p>
        </w:tc>
        <w:tc>
          <w:tcPr>
            <w:tcW w:w="3658" w:type="dxa"/>
          </w:tcPr>
          <w:p w14:paraId="063679E5" w14:textId="6349F54D" w:rsidR="00626D4D" w:rsidRPr="00A73F5B" w:rsidRDefault="00626D4D" w:rsidP="00626D4D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A73F5B">
              <w:rPr>
                <w:rFonts w:ascii="Arial" w:hAnsi="Arial" w:cs="Arial"/>
                <w:b/>
              </w:rPr>
              <w:t>Session Title</w:t>
            </w:r>
          </w:p>
        </w:tc>
        <w:tc>
          <w:tcPr>
            <w:tcW w:w="2638" w:type="dxa"/>
          </w:tcPr>
          <w:p w14:paraId="72EEF312" w14:textId="77777777" w:rsidR="00626D4D" w:rsidRPr="00A73F5B" w:rsidRDefault="00626D4D" w:rsidP="00626D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5573" w:type="dxa"/>
          </w:tcPr>
          <w:p w14:paraId="53EFF22C" w14:textId="77777777" w:rsidR="00626D4D" w:rsidRPr="00A73F5B" w:rsidRDefault="00626D4D" w:rsidP="00626D4D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A73F5B">
              <w:rPr>
                <w:rFonts w:ascii="Arial" w:hAnsi="Arial" w:cs="Arial"/>
                <w:b/>
              </w:rPr>
              <w:t>Benefits and Learning Outcomes</w:t>
            </w:r>
          </w:p>
        </w:tc>
      </w:tr>
      <w:tr w:rsidR="00626D4D" w:rsidRPr="00A73F5B" w14:paraId="4404BB9D" w14:textId="77777777" w:rsidTr="1A807907">
        <w:tc>
          <w:tcPr>
            <w:tcW w:w="12950" w:type="dxa"/>
            <w:gridSpan w:val="4"/>
            <w:shd w:val="clear" w:color="auto" w:fill="F79646" w:themeFill="accent6"/>
          </w:tcPr>
          <w:p w14:paraId="71A0E1D6" w14:textId="77777777" w:rsidR="00626D4D" w:rsidRPr="00A73F5B" w:rsidRDefault="00626D4D" w:rsidP="00626D4D">
            <w:pPr>
              <w:jc w:val="center"/>
              <w:rPr>
                <w:rFonts w:ascii="Arial" w:hAnsi="Arial" w:cs="Arial"/>
              </w:rPr>
            </w:pPr>
            <w:r w:rsidRPr="00A73F5B">
              <w:rPr>
                <w:rFonts w:ascii="Arial" w:hAnsi="Arial" w:cs="Arial"/>
                <w:b/>
              </w:rPr>
              <w:t>Track 1: Integrated Talent Management, Managing Learning Programs, Knowledge Management</w:t>
            </w:r>
          </w:p>
        </w:tc>
      </w:tr>
      <w:tr w:rsidR="00626D4D" w:rsidRPr="00A73F5B" w14:paraId="51AC38C0" w14:textId="77777777" w:rsidTr="1A807907">
        <w:tc>
          <w:tcPr>
            <w:tcW w:w="1081" w:type="dxa"/>
          </w:tcPr>
          <w:p w14:paraId="049E4D08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47FDDAF6" w14:textId="048E8DCF" w:rsidR="00626D4D" w:rsidRPr="00626D4D" w:rsidRDefault="1A807907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Skills Revolution: The Skills-Driven Future of Talent Development</w:t>
            </w:r>
          </w:p>
        </w:tc>
        <w:tc>
          <w:tcPr>
            <w:tcW w:w="2638" w:type="dxa"/>
          </w:tcPr>
          <w:p w14:paraId="73F7E344" w14:textId="1FF2FD10" w:rsidR="00626D4D" w:rsidRPr="00C233CB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 xml:space="preserve">Joey Spivey, </w:t>
            </w:r>
            <w:proofErr w:type="spellStart"/>
            <w:r w:rsidRPr="1A807907">
              <w:rPr>
                <w:rFonts w:ascii="Arial" w:hAnsi="Arial" w:cs="Arial"/>
                <w:sz w:val="22"/>
                <w:szCs w:val="22"/>
              </w:rPr>
              <w:t>Wellabe</w:t>
            </w:r>
            <w:proofErr w:type="spellEnd"/>
          </w:p>
        </w:tc>
        <w:tc>
          <w:tcPr>
            <w:tcW w:w="5573" w:type="dxa"/>
          </w:tcPr>
          <w:p w14:paraId="07D6ACB4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01543AB3" w14:textId="77777777" w:rsidTr="1A807907">
        <w:tc>
          <w:tcPr>
            <w:tcW w:w="1081" w:type="dxa"/>
          </w:tcPr>
          <w:p w14:paraId="570A02E7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361E3A00" w14:textId="609D87FE" w:rsidR="00626D4D" w:rsidRPr="00626D4D" w:rsidRDefault="1A807907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Redefining Your TD Role: From Functional Expert to Strategic Leader</w:t>
            </w:r>
          </w:p>
        </w:tc>
        <w:tc>
          <w:tcPr>
            <w:tcW w:w="2638" w:type="dxa"/>
          </w:tcPr>
          <w:p w14:paraId="40A3E2EC" w14:textId="29C2F088" w:rsidR="00626D4D" w:rsidRPr="00C233CB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Carlos Rojas, 2.0 and Gina Brown, Magnify Innovation and Leadership</w:t>
            </w:r>
          </w:p>
        </w:tc>
        <w:tc>
          <w:tcPr>
            <w:tcW w:w="5573" w:type="dxa"/>
          </w:tcPr>
          <w:p w14:paraId="6A45582A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0914F8C5" w14:textId="77777777" w:rsidTr="1A807907">
        <w:tc>
          <w:tcPr>
            <w:tcW w:w="1081" w:type="dxa"/>
          </w:tcPr>
          <w:p w14:paraId="175C86AC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53A73D51" w14:textId="47506C56" w:rsidR="00626D4D" w:rsidRPr="00626D4D" w:rsidRDefault="1A807907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Augmenting Learning and Performance with AI</w:t>
            </w:r>
          </w:p>
        </w:tc>
        <w:tc>
          <w:tcPr>
            <w:tcW w:w="2638" w:type="dxa"/>
          </w:tcPr>
          <w:p w14:paraId="513AAA0C" w14:textId="13E8AECC" w:rsidR="00420689" w:rsidRPr="00C233CB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 xml:space="preserve">Thom Powell, Value People, and Gerard </w:t>
            </w:r>
            <w:r w:rsidR="00FF0F80">
              <w:rPr>
                <w:rFonts w:ascii="Arial" w:hAnsi="Arial" w:cs="Arial"/>
                <w:sz w:val="22"/>
                <w:szCs w:val="22"/>
              </w:rPr>
              <w:t>K</w:t>
            </w:r>
            <w:r w:rsidRPr="1A807907">
              <w:rPr>
                <w:rFonts w:ascii="Arial" w:hAnsi="Arial" w:cs="Arial"/>
                <w:sz w:val="22"/>
                <w:szCs w:val="22"/>
              </w:rPr>
              <w:t>rupke, BSB Design</w:t>
            </w:r>
          </w:p>
        </w:tc>
        <w:tc>
          <w:tcPr>
            <w:tcW w:w="5573" w:type="dxa"/>
          </w:tcPr>
          <w:p w14:paraId="529A6B58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5BD4D55C" w14:textId="77777777" w:rsidTr="1A807907">
        <w:tc>
          <w:tcPr>
            <w:tcW w:w="1081" w:type="dxa"/>
          </w:tcPr>
          <w:p w14:paraId="04986354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6527451C" w14:textId="6E613143" w:rsidR="00626D4D" w:rsidRPr="00626D4D" w:rsidRDefault="1A807907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 xml:space="preserve">Feed the Beast: How to Win on </w:t>
            </w:r>
            <w:proofErr w:type="gramStart"/>
            <w:r w:rsidRPr="1A807907">
              <w:rPr>
                <w:rFonts w:ascii="Arial" w:hAnsi="Arial" w:cs="Arial"/>
                <w:sz w:val="22"/>
                <w:szCs w:val="22"/>
              </w:rPr>
              <w:t>Social Media</w:t>
            </w:r>
            <w:proofErr w:type="gramEnd"/>
            <w:r w:rsidRPr="1A807907">
              <w:rPr>
                <w:rFonts w:ascii="Arial" w:hAnsi="Arial" w:cs="Arial"/>
                <w:sz w:val="22"/>
                <w:szCs w:val="22"/>
              </w:rPr>
              <w:t xml:space="preserve"> with Engaging Kick*ss Content</w:t>
            </w:r>
          </w:p>
        </w:tc>
        <w:tc>
          <w:tcPr>
            <w:tcW w:w="2638" w:type="dxa"/>
          </w:tcPr>
          <w:p w14:paraId="6144DA4A" w14:textId="32C8F967" w:rsidR="00420689" w:rsidRPr="00C233CB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Joshua Scheinblum, Five Seasons Media</w:t>
            </w:r>
          </w:p>
        </w:tc>
        <w:tc>
          <w:tcPr>
            <w:tcW w:w="5573" w:type="dxa"/>
          </w:tcPr>
          <w:p w14:paraId="29772BB7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31462C5B" w14:textId="77777777" w:rsidTr="1A807907">
        <w:tc>
          <w:tcPr>
            <w:tcW w:w="1081" w:type="dxa"/>
          </w:tcPr>
          <w:p w14:paraId="0F0A0803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0EE2098C" w14:textId="444313C7" w:rsidR="00626D4D" w:rsidRPr="00626D4D" w:rsidRDefault="1A807907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From the Public School to the Private Sector: Teacher to Corporate Trainer</w:t>
            </w:r>
          </w:p>
        </w:tc>
        <w:tc>
          <w:tcPr>
            <w:tcW w:w="2638" w:type="dxa"/>
          </w:tcPr>
          <w:p w14:paraId="40D4530C" w14:textId="564C506B" w:rsidR="00420689" w:rsidRPr="00C233CB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Alan Feirer, Group Dynamic</w:t>
            </w:r>
          </w:p>
        </w:tc>
        <w:tc>
          <w:tcPr>
            <w:tcW w:w="5573" w:type="dxa"/>
          </w:tcPr>
          <w:p w14:paraId="2C82CED9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32A2FA0F" w14:textId="77777777" w:rsidTr="1A807907">
        <w:tc>
          <w:tcPr>
            <w:tcW w:w="12950" w:type="dxa"/>
            <w:gridSpan w:val="4"/>
            <w:shd w:val="clear" w:color="auto" w:fill="F79646" w:themeFill="accent6"/>
          </w:tcPr>
          <w:p w14:paraId="6C206A82" w14:textId="77777777" w:rsidR="00626D4D" w:rsidRPr="00A73F5B" w:rsidRDefault="00626D4D" w:rsidP="00626D4D">
            <w:pPr>
              <w:jc w:val="center"/>
              <w:rPr>
                <w:rFonts w:ascii="Arial" w:hAnsi="Arial" w:cs="Arial"/>
              </w:rPr>
            </w:pPr>
            <w:r w:rsidRPr="00A73F5B">
              <w:rPr>
                <w:rFonts w:ascii="Arial" w:hAnsi="Arial" w:cs="Arial"/>
                <w:b/>
              </w:rPr>
              <w:t>Track 2: Performance Improvement, Change Management, Coaching</w:t>
            </w:r>
          </w:p>
        </w:tc>
      </w:tr>
      <w:tr w:rsidR="00626D4D" w:rsidRPr="00A73F5B" w14:paraId="4BF3E6DA" w14:textId="77777777" w:rsidTr="1A807907">
        <w:tc>
          <w:tcPr>
            <w:tcW w:w="1081" w:type="dxa"/>
          </w:tcPr>
          <w:p w14:paraId="315FDC9B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459EE0E7" w14:textId="0EF27E51" w:rsidR="00626D4D" w:rsidRPr="00626D4D" w:rsidRDefault="1A807907" w:rsidP="000D737C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Culture &amp; Learning: The Catalyst for Employee &amp; Customer Engagement</w:t>
            </w:r>
          </w:p>
        </w:tc>
        <w:tc>
          <w:tcPr>
            <w:tcW w:w="2638" w:type="dxa"/>
          </w:tcPr>
          <w:p w14:paraId="1C6F3C4E" w14:textId="235EEB42" w:rsidR="00420689" w:rsidRPr="00C233CB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Katherine Phillips-Parrish, Phillips Learning Design</w:t>
            </w:r>
          </w:p>
        </w:tc>
        <w:tc>
          <w:tcPr>
            <w:tcW w:w="5573" w:type="dxa"/>
          </w:tcPr>
          <w:p w14:paraId="726947C9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4EB6F6AC" w14:textId="77777777" w:rsidTr="1A807907">
        <w:tc>
          <w:tcPr>
            <w:tcW w:w="1081" w:type="dxa"/>
          </w:tcPr>
          <w:p w14:paraId="66EC0459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076FAB4B" w14:textId="71CC48FF" w:rsidR="00626D4D" w:rsidRPr="00626D4D" w:rsidRDefault="1A807907" w:rsidP="000D737C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L&amp;D Consulting in a Vending Machine World</w:t>
            </w:r>
          </w:p>
        </w:tc>
        <w:tc>
          <w:tcPr>
            <w:tcW w:w="2638" w:type="dxa"/>
          </w:tcPr>
          <w:p w14:paraId="5DA63B08" w14:textId="43AAA1D0" w:rsidR="00420689" w:rsidRPr="00C233CB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Denise Kyle-Needs and Jacey Beukelman, Farm Bureau Financial Services</w:t>
            </w:r>
          </w:p>
        </w:tc>
        <w:tc>
          <w:tcPr>
            <w:tcW w:w="5573" w:type="dxa"/>
          </w:tcPr>
          <w:p w14:paraId="4D3393B9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5C716C77" w14:textId="77777777" w:rsidTr="1A807907">
        <w:tc>
          <w:tcPr>
            <w:tcW w:w="1081" w:type="dxa"/>
          </w:tcPr>
          <w:p w14:paraId="5C2215D9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22AD1F38" w14:textId="52F4566E" w:rsidR="00626D4D" w:rsidRPr="00626D4D" w:rsidRDefault="1A807907" w:rsidP="000D737C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Leveraging Coaching When Working with Subject Matter Experts</w:t>
            </w:r>
          </w:p>
        </w:tc>
        <w:tc>
          <w:tcPr>
            <w:tcW w:w="2638" w:type="dxa"/>
          </w:tcPr>
          <w:p w14:paraId="3F8B6AE4" w14:textId="30F9EC52" w:rsidR="00420689" w:rsidRPr="00C233CB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Jacque Hollingshead and Katelyn Proctor, Mary Greeley Medical Center</w:t>
            </w:r>
          </w:p>
        </w:tc>
        <w:tc>
          <w:tcPr>
            <w:tcW w:w="5573" w:type="dxa"/>
          </w:tcPr>
          <w:p w14:paraId="62907F53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742035DB" w14:textId="77777777" w:rsidTr="1A807907">
        <w:tc>
          <w:tcPr>
            <w:tcW w:w="1081" w:type="dxa"/>
          </w:tcPr>
          <w:p w14:paraId="065AFEDB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6BEFC111" w14:textId="4789BCAF" w:rsidR="00626D4D" w:rsidRPr="00626D4D" w:rsidRDefault="1A807907" w:rsidP="000D737C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How to Make Development Assessments a Better Investment</w:t>
            </w:r>
          </w:p>
        </w:tc>
        <w:tc>
          <w:tcPr>
            <w:tcW w:w="2638" w:type="dxa"/>
          </w:tcPr>
          <w:p w14:paraId="7C22988E" w14:textId="28B5B4E6" w:rsidR="00420689" w:rsidRPr="00C233CB" w:rsidRDefault="1A807907" w:rsidP="1A80790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Dick Hannasch, Aware and Willing, LLC, and Roxy Galkin, Child</w:t>
            </w:r>
            <w:r w:rsidRPr="1A807907">
              <w:rPr>
                <w:rFonts w:ascii="Arial" w:hAnsi="Arial" w:cs="Arial"/>
                <w:i/>
                <w:iCs/>
                <w:sz w:val="22"/>
                <w:szCs w:val="22"/>
              </w:rPr>
              <w:t>Serve</w:t>
            </w:r>
          </w:p>
        </w:tc>
        <w:tc>
          <w:tcPr>
            <w:tcW w:w="5573" w:type="dxa"/>
          </w:tcPr>
          <w:p w14:paraId="56436FAD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7A480A5D" w14:textId="77777777" w:rsidTr="1A807907">
        <w:tc>
          <w:tcPr>
            <w:tcW w:w="1081" w:type="dxa"/>
          </w:tcPr>
          <w:p w14:paraId="12BF15FC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47BB2F1A" w14:textId="600B7EFB" w:rsidR="00626D4D" w:rsidRPr="00626D4D" w:rsidRDefault="1A807907" w:rsidP="000D737C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The Key to Increasing Learning Performance – Psychological Safety</w:t>
            </w:r>
          </w:p>
        </w:tc>
        <w:tc>
          <w:tcPr>
            <w:tcW w:w="2638" w:type="dxa"/>
          </w:tcPr>
          <w:p w14:paraId="04035332" w14:textId="6BE07EFA" w:rsidR="00420689" w:rsidRPr="00C233CB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 xml:space="preserve">Molly Mackey, </w:t>
            </w:r>
            <w:proofErr w:type="spellStart"/>
            <w:r w:rsidRPr="1A807907">
              <w:rPr>
                <w:rFonts w:ascii="Arial" w:hAnsi="Arial" w:cs="Arial"/>
                <w:sz w:val="22"/>
                <w:szCs w:val="22"/>
              </w:rPr>
              <w:t>LEAdeRNship</w:t>
            </w:r>
            <w:proofErr w:type="spellEnd"/>
            <w:r w:rsidRPr="1A807907">
              <w:rPr>
                <w:rFonts w:ascii="Arial" w:hAnsi="Arial" w:cs="Arial"/>
                <w:sz w:val="22"/>
                <w:szCs w:val="22"/>
              </w:rPr>
              <w:t xml:space="preserve"> Institute</w:t>
            </w:r>
          </w:p>
        </w:tc>
        <w:tc>
          <w:tcPr>
            <w:tcW w:w="5573" w:type="dxa"/>
          </w:tcPr>
          <w:p w14:paraId="0E9B6395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1D27D47C" w14:textId="77777777" w:rsidTr="1A807907">
        <w:tc>
          <w:tcPr>
            <w:tcW w:w="12950" w:type="dxa"/>
            <w:gridSpan w:val="4"/>
            <w:shd w:val="clear" w:color="auto" w:fill="F79646" w:themeFill="accent6"/>
          </w:tcPr>
          <w:p w14:paraId="38C29DAD" w14:textId="77777777" w:rsidR="00626D4D" w:rsidRPr="009A0CEC" w:rsidRDefault="009A0CEC" w:rsidP="00626D4D">
            <w:pPr>
              <w:jc w:val="center"/>
              <w:rPr>
                <w:rFonts w:ascii="Arial" w:hAnsi="Arial" w:cs="Arial"/>
                <w:b/>
              </w:rPr>
            </w:pPr>
            <w:r w:rsidRPr="009A0CEC">
              <w:rPr>
                <w:rFonts w:ascii="Arial" w:hAnsi="Arial" w:cs="Arial"/>
                <w:b/>
              </w:rPr>
              <w:t>Track 3: Training Delivery, Instructional Design, Learning Technologies, Evaluating Learning Impact</w:t>
            </w:r>
          </w:p>
        </w:tc>
      </w:tr>
      <w:tr w:rsidR="00626D4D" w:rsidRPr="00A73F5B" w14:paraId="49155A51" w14:textId="77777777" w:rsidTr="1A807907">
        <w:tc>
          <w:tcPr>
            <w:tcW w:w="1081" w:type="dxa"/>
          </w:tcPr>
          <w:p w14:paraId="1C0F5C56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14560711" w14:textId="26DE6399" w:rsidR="00626D4D" w:rsidRPr="00626D4D" w:rsidRDefault="1A807907" w:rsidP="1A8079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1A80790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Power Up with Power Apps</w:t>
            </w:r>
          </w:p>
        </w:tc>
        <w:tc>
          <w:tcPr>
            <w:tcW w:w="2638" w:type="dxa"/>
          </w:tcPr>
          <w:p w14:paraId="689A8500" w14:textId="36EEE080" w:rsidR="00420689" w:rsidRPr="00626D4D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Mary Roth and Elizabeth Kinsey, Principal Financial Group</w:t>
            </w:r>
          </w:p>
        </w:tc>
        <w:tc>
          <w:tcPr>
            <w:tcW w:w="5573" w:type="dxa"/>
          </w:tcPr>
          <w:p w14:paraId="0AED34F5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3BEE0E72" w14:textId="77777777" w:rsidTr="1A807907">
        <w:tc>
          <w:tcPr>
            <w:tcW w:w="1081" w:type="dxa"/>
          </w:tcPr>
          <w:p w14:paraId="5336C1EC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76BA552B" w14:textId="1F537819" w:rsidR="00626D4D" w:rsidRPr="00626D4D" w:rsidRDefault="1A807907" w:rsidP="1A8079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1A80790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Things We Don’t Know We Don’t Know: Managing Skills and Talent Development</w:t>
            </w:r>
          </w:p>
        </w:tc>
        <w:tc>
          <w:tcPr>
            <w:tcW w:w="2638" w:type="dxa"/>
          </w:tcPr>
          <w:p w14:paraId="0971CA92" w14:textId="4C1946B2" w:rsidR="00420689" w:rsidRPr="00626D4D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Dr. Jeffrey Kappan and Stephen Smith, Baton Global</w:t>
            </w:r>
          </w:p>
        </w:tc>
        <w:tc>
          <w:tcPr>
            <w:tcW w:w="5573" w:type="dxa"/>
          </w:tcPr>
          <w:p w14:paraId="6D74FBD5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6C5A5AAE" w14:textId="77777777" w:rsidTr="1A807907">
        <w:tc>
          <w:tcPr>
            <w:tcW w:w="1081" w:type="dxa"/>
          </w:tcPr>
          <w:p w14:paraId="36ACECD4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23064A73" w14:textId="3E7FDFA3" w:rsidR="00626D4D" w:rsidRPr="00626D4D" w:rsidRDefault="1A807907" w:rsidP="1A8079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1A80790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Level Up Your Organization’s Measurement and Evaluation Culture</w:t>
            </w:r>
          </w:p>
        </w:tc>
        <w:tc>
          <w:tcPr>
            <w:tcW w:w="2638" w:type="dxa"/>
          </w:tcPr>
          <w:p w14:paraId="410DFBC5" w14:textId="64F4A38E" w:rsidR="00420689" w:rsidRPr="00626D4D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Jon Pederson, Principal Financial Group</w:t>
            </w:r>
          </w:p>
        </w:tc>
        <w:tc>
          <w:tcPr>
            <w:tcW w:w="5573" w:type="dxa"/>
          </w:tcPr>
          <w:p w14:paraId="50807D79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3F3B028E" w14:textId="77777777" w:rsidTr="1A807907">
        <w:tc>
          <w:tcPr>
            <w:tcW w:w="1081" w:type="dxa"/>
          </w:tcPr>
          <w:p w14:paraId="6155A93D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2E4A75E2" w14:textId="6B05D198" w:rsidR="00626D4D" w:rsidRPr="00626D4D" w:rsidRDefault="1A807907" w:rsidP="1A8079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1A80790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 Higher Education Perspective or Collaborating with Subject Matter Experts</w:t>
            </w:r>
          </w:p>
        </w:tc>
        <w:tc>
          <w:tcPr>
            <w:tcW w:w="2638" w:type="dxa"/>
          </w:tcPr>
          <w:p w14:paraId="03A38453" w14:textId="25361978" w:rsidR="00420689" w:rsidRPr="00626D4D" w:rsidRDefault="1A807907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Dr. Long He and Hiro Iino, Iowa State University</w:t>
            </w:r>
          </w:p>
        </w:tc>
        <w:tc>
          <w:tcPr>
            <w:tcW w:w="5573" w:type="dxa"/>
          </w:tcPr>
          <w:p w14:paraId="33181DC6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  <w:tr w:rsidR="1A807907" w14:paraId="175FA3AD" w14:textId="77777777" w:rsidTr="1A807907">
        <w:trPr>
          <w:trHeight w:val="300"/>
        </w:trPr>
        <w:tc>
          <w:tcPr>
            <w:tcW w:w="1081" w:type="dxa"/>
          </w:tcPr>
          <w:p w14:paraId="41FC795E" w14:textId="36B877C0" w:rsidR="1A807907" w:rsidRDefault="1A807907" w:rsidP="1A8079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05E4952B" w14:textId="758DCC5A" w:rsidR="1A807907" w:rsidRDefault="1A807907" w:rsidP="1A8079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1A80790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Making Learning Stick: Why Training Can Fall Short and What to Do About It</w:t>
            </w:r>
          </w:p>
        </w:tc>
        <w:tc>
          <w:tcPr>
            <w:tcW w:w="2638" w:type="dxa"/>
          </w:tcPr>
          <w:p w14:paraId="5E54533D" w14:textId="4346ABA7" w:rsidR="1A807907" w:rsidRDefault="1A807907" w:rsidP="1A807907">
            <w:pPr>
              <w:rPr>
                <w:rFonts w:ascii="Arial" w:hAnsi="Arial" w:cs="Arial"/>
                <w:sz w:val="22"/>
                <w:szCs w:val="22"/>
              </w:rPr>
            </w:pPr>
            <w:r w:rsidRPr="1A807907">
              <w:rPr>
                <w:rFonts w:ascii="Arial" w:hAnsi="Arial" w:cs="Arial"/>
                <w:sz w:val="22"/>
                <w:szCs w:val="22"/>
              </w:rPr>
              <w:t>Dr. Teresa Peterson, Sarah Noll Wilson, Inc.</w:t>
            </w:r>
          </w:p>
        </w:tc>
        <w:tc>
          <w:tcPr>
            <w:tcW w:w="5573" w:type="dxa"/>
          </w:tcPr>
          <w:p w14:paraId="379EEDA7" w14:textId="0023890D" w:rsidR="1A807907" w:rsidRDefault="1A807907" w:rsidP="1A807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6A13DA" w14:textId="77777777" w:rsidR="00D52E58" w:rsidRPr="00D52E58" w:rsidRDefault="00D52E58" w:rsidP="00725E6C">
      <w:pPr>
        <w:tabs>
          <w:tab w:val="left" w:pos="4320"/>
        </w:tabs>
      </w:pPr>
    </w:p>
    <w:p w14:paraId="407CCA8A" w14:textId="42DF75C7" w:rsidR="0B1CEBA7" w:rsidRDefault="0B1CEBA7" w:rsidP="00FF0F80">
      <w:pPr>
        <w:tabs>
          <w:tab w:val="left" w:pos="4320"/>
        </w:tabs>
        <w:jc w:val="center"/>
      </w:pPr>
    </w:p>
    <w:p w14:paraId="15B1A930" w14:textId="1BFD3607" w:rsidR="0B1CEBA7" w:rsidRDefault="0B1CEBA7" w:rsidP="0B1CEBA7">
      <w:pPr>
        <w:tabs>
          <w:tab w:val="left" w:pos="4320"/>
        </w:tabs>
        <w:jc w:val="center"/>
      </w:pPr>
    </w:p>
    <w:sectPr w:rsidR="0B1CEBA7" w:rsidSect="00FF0F8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900" w:right="117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4549" w14:textId="77777777" w:rsidR="00442C43" w:rsidRDefault="00442C43" w:rsidP="00134C68">
      <w:pPr>
        <w:spacing w:after="0"/>
      </w:pPr>
      <w:r>
        <w:separator/>
      </w:r>
    </w:p>
  </w:endnote>
  <w:endnote w:type="continuationSeparator" w:id="0">
    <w:p w14:paraId="63FAC7A2" w14:textId="77777777" w:rsidR="00442C43" w:rsidRDefault="00442C43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349B781" w14:paraId="11B1FCF0" w14:textId="77777777" w:rsidTr="4349B781">
      <w:trPr>
        <w:trHeight w:val="300"/>
      </w:trPr>
      <w:tc>
        <w:tcPr>
          <w:tcW w:w="4320" w:type="dxa"/>
        </w:tcPr>
        <w:p w14:paraId="6B227C1F" w14:textId="7171D817" w:rsidR="4349B781" w:rsidRDefault="4349B781" w:rsidP="4349B781">
          <w:pPr>
            <w:pStyle w:val="Header"/>
            <w:ind w:left="-115"/>
          </w:pPr>
        </w:p>
      </w:tc>
      <w:tc>
        <w:tcPr>
          <w:tcW w:w="4320" w:type="dxa"/>
        </w:tcPr>
        <w:p w14:paraId="7906B893" w14:textId="19AF2A43" w:rsidR="4349B781" w:rsidRDefault="4349B781" w:rsidP="4349B781">
          <w:pPr>
            <w:pStyle w:val="Header"/>
            <w:jc w:val="center"/>
          </w:pPr>
        </w:p>
      </w:tc>
      <w:tc>
        <w:tcPr>
          <w:tcW w:w="4320" w:type="dxa"/>
        </w:tcPr>
        <w:p w14:paraId="304646F9" w14:textId="573DFF65" w:rsidR="4349B781" w:rsidRDefault="4349B781" w:rsidP="4349B781">
          <w:pPr>
            <w:pStyle w:val="Header"/>
            <w:ind w:right="-115"/>
            <w:jc w:val="right"/>
          </w:pPr>
        </w:p>
      </w:tc>
    </w:tr>
  </w:tbl>
  <w:p w14:paraId="21A3957B" w14:textId="701B5835" w:rsidR="4349B781" w:rsidRDefault="4349B781" w:rsidP="4349B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349B781" w14:paraId="0E8F1065" w14:textId="77777777" w:rsidTr="4349B781">
      <w:trPr>
        <w:trHeight w:val="300"/>
      </w:trPr>
      <w:tc>
        <w:tcPr>
          <w:tcW w:w="4320" w:type="dxa"/>
        </w:tcPr>
        <w:p w14:paraId="21C21246" w14:textId="3C32CF27" w:rsidR="4349B781" w:rsidRDefault="4349B781" w:rsidP="4349B781">
          <w:pPr>
            <w:pStyle w:val="Header"/>
            <w:ind w:left="-115"/>
          </w:pPr>
        </w:p>
      </w:tc>
      <w:tc>
        <w:tcPr>
          <w:tcW w:w="4320" w:type="dxa"/>
        </w:tcPr>
        <w:p w14:paraId="4201FF2E" w14:textId="22350E13" w:rsidR="4349B781" w:rsidRDefault="4349B781" w:rsidP="4349B781">
          <w:pPr>
            <w:pStyle w:val="Header"/>
            <w:jc w:val="center"/>
          </w:pPr>
        </w:p>
      </w:tc>
      <w:tc>
        <w:tcPr>
          <w:tcW w:w="4320" w:type="dxa"/>
        </w:tcPr>
        <w:p w14:paraId="023EE1F4" w14:textId="5150E815" w:rsidR="4349B781" w:rsidRDefault="4349B781" w:rsidP="4349B781">
          <w:pPr>
            <w:pStyle w:val="Header"/>
            <w:ind w:right="-115"/>
            <w:jc w:val="right"/>
          </w:pPr>
        </w:p>
      </w:tc>
    </w:tr>
  </w:tbl>
  <w:p w14:paraId="30592E54" w14:textId="06AA94FC" w:rsidR="4349B781" w:rsidRDefault="4349B781" w:rsidP="4349B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FB10" w14:textId="77777777" w:rsidR="00442C43" w:rsidRDefault="00442C43" w:rsidP="00134C68">
      <w:pPr>
        <w:spacing w:after="0"/>
      </w:pPr>
      <w:r>
        <w:separator/>
      </w:r>
    </w:p>
  </w:footnote>
  <w:footnote w:type="continuationSeparator" w:id="0">
    <w:p w14:paraId="71411BFD" w14:textId="77777777" w:rsidR="00442C43" w:rsidRDefault="00442C43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349B781" w14:paraId="4CB4087A" w14:textId="77777777" w:rsidTr="4349B781">
      <w:trPr>
        <w:trHeight w:val="300"/>
      </w:trPr>
      <w:tc>
        <w:tcPr>
          <w:tcW w:w="4320" w:type="dxa"/>
        </w:tcPr>
        <w:p w14:paraId="1012AA1B" w14:textId="1C9A2D81" w:rsidR="4349B781" w:rsidRDefault="4349B781" w:rsidP="4349B781">
          <w:pPr>
            <w:pStyle w:val="Header"/>
            <w:ind w:left="-115"/>
          </w:pPr>
        </w:p>
      </w:tc>
      <w:tc>
        <w:tcPr>
          <w:tcW w:w="4320" w:type="dxa"/>
        </w:tcPr>
        <w:p w14:paraId="364F2059" w14:textId="33FCE107" w:rsidR="4349B781" w:rsidRDefault="4349B781" w:rsidP="4349B781">
          <w:pPr>
            <w:pStyle w:val="Header"/>
            <w:jc w:val="center"/>
          </w:pPr>
        </w:p>
      </w:tc>
      <w:tc>
        <w:tcPr>
          <w:tcW w:w="4320" w:type="dxa"/>
        </w:tcPr>
        <w:p w14:paraId="2CFCEA8B" w14:textId="1DC889D7" w:rsidR="4349B781" w:rsidRDefault="4349B781" w:rsidP="4349B781">
          <w:pPr>
            <w:pStyle w:val="Header"/>
            <w:ind w:right="-115"/>
            <w:jc w:val="right"/>
          </w:pPr>
        </w:p>
      </w:tc>
    </w:tr>
  </w:tbl>
  <w:p w14:paraId="03873CA2" w14:textId="13941FBE" w:rsidR="4349B781" w:rsidRDefault="4349B781" w:rsidP="4349B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1B5C" w14:textId="7988B9CA" w:rsidR="00FF0F80" w:rsidRDefault="00FF0F8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4C61A3" wp14:editId="174303AC">
          <wp:simplePos x="0" y="0"/>
          <wp:positionH relativeFrom="column">
            <wp:posOffset>-1913328</wp:posOffset>
          </wp:positionH>
          <wp:positionV relativeFrom="paragraph">
            <wp:posOffset>-722217</wp:posOffset>
          </wp:positionV>
          <wp:extent cx="2071370" cy="1952625"/>
          <wp:effectExtent l="0" t="0" r="0" b="0"/>
          <wp:wrapNone/>
          <wp:docPr id="1454169534" name="Picture 1454169534" descr="A red square with yellow lines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710831" name="Picture 1104710831" descr="A red square with yellow lines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40" t="20289" r="18115" b="20289"/>
                  <a:stretch>
                    <a:fillRect/>
                  </a:stretch>
                </pic:blipFill>
                <pic:spPr>
                  <a:xfrm>
                    <a:off x="0" y="0"/>
                    <a:ext cx="2071370" cy="195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941E87" wp14:editId="57BC5384">
          <wp:simplePos x="0" y="0"/>
          <wp:positionH relativeFrom="column">
            <wp:posOffset>7598350</wp:posOffset>
          </wp:positionH>
          <wp:positionV relativeFrom="paragraph">
            <wp:posOffset>-647995</wp:posOffset>
          </wp:positionV>
          <wp:extent cx="1741891" cy="1669312"/>
          <wp:effectExtent l="0" t="0" r="0" b="0"/>
          <wp:wrapNone/>
          <wp:docPr id="299892345" name="Picture 299892345" descr="A yellow and red dot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87773" name="Picture 74987773" descr="A yellow and red dot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88" t="19444" r="19444" b="16666"/>
                  <a:stretch>
                    <a:fillRect/>
                  </a:stretch>
                </pic:blipFill>
                <pic:spPr>
                  <a:xfrm>
                    <a:off x="0" y="0"/>
                    <a:ext cx="1741891" cy="1669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3783">
    <w:abstractNumId w:val="4"/>
  </w:num>
  <w:num w:numId="2" w16cid:durableId="622728970">
    <w:abstractNumId w:val="3"/>
  </w:num>
  <w:num w:numId="3" w16cid:durableId="941766858">
    <w:abstractNumId w:val="2"/>
  </w:num>
  <w:num w:numId="4" w16cid:durableId="572592741">
    <w:abstractNumId w:val="1"/>
  </w:num>
  <w:num w:numId="5" w16cid:durableId="540553404">
    <w:abstractNumId w:val="0"/>
  </w:num>
  <w:num w:numId="6" w16cid:durableId="1441098149">
    <w:abstractNumId w:val="6"/>
  </w:num>
  <w:num w:numId="7" w16cid:durableId="710493316">
    <w:abstractNumId w:val="5"/>
  </w:num>
  <w:num w:numId="8" w16cid:durableId="113221106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400AD"/>
    <w:rsid w:val="0005776D"/>
    <w:rsid w:val="00076095"/>
    <w:rsid w:val="00076599"/>
    <w:rsid w:val="000D737C"/>
    <w:rsid w:val="0012690E"/>
    <w:rsid w:val="00134C68"/>
    <w:rsid w:val="001366BD"/>
    <w:rsid w:val="001C6A7C"/>
    <w:rsid w:val="001D779D"/>
    <w:rsid w:val="001E2313"/>
    <w:rsid w:val="001F4857"/>
    <w:rsid w:val="002052A5"/>
    <w:rsid w:val="0023079F"/>
    <w:rsid w:val="00254629"/>
    <w:rsid w:val="00256A43"/>
    <w:rsid w:val="002835E6"/>
    <w:rsid w:val="0029142A"/>
    <w:rsid w:val="002A1EF8"/>
    <w:rsid w:val="00342B79"/>
    <w:rsid w:val="003E0DC7"/>
    <w:rsid w:val="003E0F37"/>
    <w:rsid w:val="003E6A00"/>
    <w:rsid w:val="00420689"/>
    <w:rsid w:val="00442C43"/>
    <w:rsid w:val="00476D43"/>
    <w:rsid w:val="004A6A02"/>
    <w:rsid w:val="004C0ED3"/>
    <w:rsid w:val="005A1632"/>
    <w:rsid w:val="00626D4D"/>
    <w:rsid w:val="006335F2"/>
    <w:rsid w:val="006426D6"/>
    <w:rsid w:val="00661FCB"/>
    <w:rsid w:val="0069420B"/>
    <w:rsid w:val="006A65BC"/>
    <w:rsid w:val="006B1865"/>
    <w:rsid w:val="006E134A"/>
    <w:rsid w:val="006F299A"/>
    <w:rsid w:val="00725E6C"/>
    <w:rsid w:val="00727040"/>
    <w:rsid w:val="007416BB"/>
    <w:rsid w:val="007A0D42"/>
    <w:rsid w:val="007D4786"/>
    <w:rsid w:val="007E50E9"/>
    <w:rsid w:val="0082591C"/>
    <w:rsid w:val="0084102E"/>
    <w:rsid w:val="00871F18"/>
    <w:rsid w:val="00885E0D"/>
    <w:rsid w:val="008A6D00"/>
    <w:rsid w:val="008C0DAA"/>
    <w:rsid w:val="00946F84"/>
    <w:rsid w:val="00960968"/>
    <w:rsid w:val="00962A58"/>
    <w:rsid w:val="009A0CEC"/>
    <w:rsid w:val="009E6122"/>
    <w:rsid w:val="009F1A90"/>
    <w:rsid w:val="00A40CFC"/>
    <w:rsid w:val="00A61453"/>
    <w:rsid w:val="00A73F5B"/>
    <w:rsid w:val="00AB605E"/>
    <w:rsid w:val="00B331DF"/>
    <w:rsid w:val="00B67608"/>
    <w:rsid w:val="00B77EEC"/>
    <w:rsid w:val="00B95261"/>
    <w:rsid w:val="00BB3E0A"/>
    <w:rsid w:val="00C233CB"/>
    <w:rsid w:val="00C35A80"/>
    <w:rsid w:val="00CB087A"/>
    <w:rsid w:val="00CB0C0B"/>
    <w:rsid w:val="00CE7B21"/>
    <w:rsid w:val="00D52E58"/>
    <w:rsid w:val="00D616A1"/>
    <w:rsid w:val="00D829D2"/>
    <w:rsid w:val="00DA2338"/>
    <w:rsid w:val="00DC4B1E"/>
    <w:rsid w:val="00DD72EE"/>
    <w:rsid w:val="00DE25B1"/>
    <w:rsid w:val="00DE4281"/>
    <w:rsid w:val="00E72907"/>
    <w:rsid w:val="00E854A3"/>
    <w:rsid w:val="00E93EBD"/>
    <w:rsid w:val="00E94DDF"/>
    <w:rsid w:val="00F722D8"/>
    <w:rsid w:val="00F979A2"/>
    <w:rsid w:val="00FF0F80"/>
    <w:rsid w:val="0B1CEBA7"/>
    <w:rsid w:val="1A807907"/>
    <w:rsid w:val="1EAF4058"/>
    <w:rsid w:val="2165478C"/>
    <w:rsid w:val="4349B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8C20AD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25E6C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2079</Characters>
  <Application>Microsoft Office Word</Application>
  <DocSecurity>0</DocSecurity>
  <Lines>17</Lines>
  <Paragraphs>4</Paragraphs>
  <ScaleCrop>false</ScaleCrop>
  <Company>Greenleaf Agency, LLC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Jennifer Lilly</cp:lastModifiedBy>
  <cp:revision>10</cp:revision>
  <dcterms:created xsi:type="dcterms:W3CDTF">2022-12-18T16:47:00Z</dcterms:created>
  <dcterms:modified xsi:type="dcterms:W3CDTF">2023-12-14T21:23:00Z</dcterms:modified>
</cp:coreProperties>
</file>